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9D" w:rsidRPr="00453E7B" w:rsidRDefault="009358E9" w:rsidP="009A6DEA">
      <w:pPr>
        <w:ind w:left="-180"/>
        <w:rPr>
          <w:b/>
          <w:sz w:val="28"/>
        </w:rPr>
      </w:pPr>
      <w:bookmarkStart w:id="0" w:name="_GoBack"/>
      <w:bookmarkEnd w:id="0"/>
      <w:r w:rsidRPr="00453E7B">
        <w:rPr>
          <w:b/>
          <w:sz w:val="28"/>
        </w:rPr>
        <w:t xml:space="preserve">Letter </w:t>
      </w:r>
      <w:r w:rsidR="00453E7B" w:rsidRPr="00453E7B">
        <w:rPr>
          <w:b/>
          <w:sz w:val="28"/>
        </w:rPr>
        <w:t>in S</w:t>
      </w:r>
      <w:r w:rsidR="0074167B" w:rsidRPr="00453E7B">
        <w:rPr>
          <w:b/>
          <w:sz w:val="28"/>
        </w:rPr>
        <w:t>upport of</w:t>
      </w:r>
      <w:r w:rsidR="00453E7B" w:rsidRPr="00453E7B">
        <w:rPr>
          <w:b/>
          <w:sz w:val="28"/>
        </w:rPr>
        <w:t xml:space="preserve"> the</w:t>
      </w:r>
      <w:r w:rsidR="0074167B" w:rsidRPr="00453E7B">
        <w:rPr>
          <w:b/>
          <w:sz w:val="28"/>
        </w:rPr>
        <w:t xml:space="preserve"> Living Transit Fund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1602"/>
        <w:gridCol w:w="4040"/>
      </w:tblGrid>
      <w:tr w:rsidR="00D4477D" w:rsidRPr="009358E9" w:rsidTr="00F223DA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D4477D" w:rsidRPr="009358E9" w:rsidRDefault="00D4477D" w:rsidP="00F223DA">
            <w:pPr>
              <w:tabs>
                <w:tab w:val="left" w:pos="990"/>
              </w:tabs>
              <w:ind w:left="90"/>
              <w:rPr>
                <w:b/>
                <w:sz w:val="22"/>
              </w:rPr>
            </w:pPr>
            <w:r w:rsidRPr="009358E9">
              <w:rPr>
                <w:b/>
                <w:sz w:val="22"/>
              </w:rPr>
              <w:t>Send to: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77D" w:rsidRPr="009358E9" w:rsidRDefault="00D4477D" w:rsidP="009A6DEA">
            <w:pPr>
              <w:tabs>
                <w:tab w:val="left" w:pos="990"/>
              </w:tabs>
              <w:ind w:left="-180"/>
              <w:jc w:val="center"/>
              <w:rPr>
                <w:b/>
                <w:sz w:val="22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D4477D" w:rsidRPr="009358E9" w:rsidRDefault="00D4477D" w:rsidP="009A6DEA">
            <w:pPr>
              <w:tabs>
                <w:tab w:val="left" w:pos="990"/>
              </w:tabs>
              <w:ind w:left="-180"/>
              <w:rPr>
                <w:b/>
                <w:sz w:val="22"/>
              </w:rPr>
            </w:pPr>
          </w:p>
        </w:tc>
      </w:tr>
      <w:tr w:rsidR="00D4477D" w:rsidRPr="009358E9" w:rsidTr="00F223DA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D4477D" w:rsidRPr="009358E9" w:rsidRDefault="00D4477D" w:rsidP="00F223DA">
            <w:pPr>
              <w:tabs>
                <w:tab w:val="left" w:pos="990"/>
              </w:tabs>
              <w:ind w:left="90"/>
              <w:rPr>
                <w:sz w:val="22"/>
              </w:rPr>
            </w:pPr>
            <w:r w:rsidRPr="009358E9">
              <w:rPr>
                <w:sz w:val="22"/>
              </w:rPr>
              <w:t xml:space="preserve">Mayor </w:t>
            </w:r>
            <w:proofErr w:type="spellStart"/>
            <w:r w:rsidRPr="009358E9">
              <w:rPr>
                <w:sz w:val="22"/>
              </w:rPr>
              <w:t>Kasim</w:t>
            </w:r>
            <w:proofErr w:type="spellEnd"/>
            <w:r w:rsidRPr="009358E9">
              <w:rPr>
                <w:sz w:val="22"/>
              </w:rPr>
              <w:t xml:space="preserve"> Reed</w:t>
            </w:r>
          </w:p>
          <w:p w:rsidR="00D4477D" w:rsidRPr="009358E9" w:rsidRDefault="00D4477D" w:rsidP="00F223DA">
            <w:pPr>
              <w:tabs>
                <w:tab w:val="left" w:pos="990"/>
              </w:tabs>
              <w:ind w:left="90"/>
              <w:rPr>
                <w:sz w:val="22"/>
              </w:rPr>
            </w:pPr>
            <w:r w:rsidRPr="009358E9">
              <w:rPr>
                <w:sz w:val="22"/>
              </w:rPr>
              <w:t>City of Atlanta, Office of the Mayor</w:t>
            </w:r>
          </w:p>
          <w:p w:rsidR="00D4477D" w:rsidRPr="009358E9" w:rsidRDefault="00D4477D" w:rsidP="00F223DA">
            <w:pPr>
              <w:tabs>
                <w:tab w:val="left" w:pos="990"/>
              </w:tabs>
              <w:ind w:left="90"/>
              <w:rPr>
                <w:sz w:val="22"/>
              </w:rPr>
            </w:pPr>
            <w:r w:rsidRPr="009358E9">
              <w:rPr>
                <w:sz w:val="22"/>
              </w:rPr>
              <w:t>55 Trinity Avenue</w:t>
            </w:r>
          </w:p>
          <w:p w:rsidR="00D4477D" w:rsidRPr="009358E9" w:rsidRDefault="00D4477D" w:rsidP="00F223DA">
            <w:pPr>
              <w:tabs>
                <w:tab w:val="left" w:pos="990"/>
              </w:tabs>
              <w:ind w:left="90"/>
              <w:rPr>
                <w:sz w:val="22"/>
              </w:rPr>
            </w:pPr>
            <w:r w:rsidRPr="009358E9">
              <w:rPr>
                <w:sz w:val="22"/>
              </w:rPr>
              <w:t>Atlanta, Georgia 30303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77D" w:rsidRPr="009358E9" w:rsidRDefault="00D4477D" w:rsidP="00F223DA">
            <w:pPr>
              <w:tabs>
                <w:tab w:val="left" w:pos="990"/>
              </w:tabs>
              <w:ind w:left="-180" w:right="-396"/>
              <w:jc w:val="center"/>
              <w:rPr>
                <w:sz w:val="22"/>
              </w:rPr>
            </w:pPr>
            <w:r w:rsidRPr="009358E9">
              <w:rPr>
                <w:sz w:val="22"/>
              </w:rPr>
              <w:t>and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D4477D" w:rsidRPr="009358E9" w:rsidRDefault="00D4477D" w:rsidP="00F223DA">
            <w:pPr>
              <w:tabs>
                <w:tab w:val="left" w:pos="990"/>
              </w:tabs>
              <w:ind w:left="180" w:right="-396"/>
              <w:rPr>
                <w:sz w:val="22"/>
              </w:rPr>
            </w:pPr>
            <w:r w:rsidRPr="009358E9">
              <w:rPr>
                <w:sz w:val="22"/>
              </w:rPr>
              <w:t>Keith T. Parker, AICP</w:t>
            </w:r>
          </w:p>
          <w:p w:rsidR="00D4477D" w:rsidRPr="009358E9" w:rsidRDefault="00D4477D" w:rsidP="00F223DA">
            <w:pPr>
              <w:tabs>
                <w:tab w:val="left" w:pos="990"/>
              </w:tabs>
              <w:ind w:left="180" w:right="-396"/>
              <w:rPr>
                <w:sz w:val="22"/>
              </w:rPr>
            </w:pPr>
            <w:r w:rsidRPr="009358E9">
              <w:rPr>
                <w:sz w:val="22"/>
              </w:rPr>
              <w:t>MARTA GM/CEO</w:t>
            </w:r>
          </w:p>
          <w:p w:rsidR="00D4477D" w:rsidRPr="009358E9" w:rsidRDefault="00D4477D" w:rsidP="00F223DA">
            <w:pPr>
              <w:tabs>
                <w:tab w:val="left" w:pos="990"/>
              </w:tabs>
              <w:ind w:left="180" w:right="-396"/>
              <w:rPr>
                <w:sz w:val="22"/>
              </w:rPr>
            </w:pPr>
            <w:r w:rsidRPr="009358E9">
              <w:rPr>
                <w:sz w:val="22"/>
              </w:rPr>
              <w:t>2424 Piedmont Rd. NE</w:t>
            </w:r>
          </w:p>
          <w:p w:rsidR="00D4477D" w:rsidRPr="009358E9" w:rsidRDefault="00D4477D" w:rsidP="00F223DA">
            <w:pPr>
              <w:tabs>
                <w:tab w:val="left" w:pos="990"/>
              </w:tabs>
              <w:ind w:left="180" w:right="-396"/>
              <w:rPr>
                <w:sz w:val="22"/>
              </w:rPr>
            </w:pPr>
            <w:r w:rsidRPr="009358E9">
              <w:rPr>
                <w:sz w:val="22"/>
              </w:rPr>
              <w:t>Atlanta, Georgia 30324</w:t>
            </w:r>
          </w:p>
        </w:tc>
      </w:tr>
      <w:tr w:rsidR="00D4477D" w:rsidRPr="009358E9" w:rsidTr="00F223DA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D4477D" w:rsidRPr="009358E9" w:rsidRDefault="007D4E14" w:rsidP="009A6DEA">
            <w:pPr>
              <w:tabs>
                <w:tab w:val="left" w:pos="990"/>
              </w:tabs>
              <w:ind w:left="-180"/>
              <w:jc w:val="center"/>
              <w:rPr>
                <w:sz w:val="22"/>
              </w:rPr>
            </w:pPr>
            <w:r w:rsidRPr="009358E9">
              <w:rPr>
                <w:sz w:val="22"/>
              </w:rPr>
              <w:t>and/</w:t>
            </w:r>
            <w:r w:rsidR="00D4477D" w:rsidRPr="009358E9">
              <w:rPr>
                <w:sz w:val="22"/>
              </w:rPr>
              <w:t>or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77D" w:rsidRPr="009358E9" w:rsidRDefault="00D4477D" w:rsidP="009A6DEA">
            <w:pPr>
              <w:tabs>
                <w:tab w:val="left" w:pos="990"/>
              </w:tabs>
              <w:ind w:left="-180"/>
              <w:jc w:val="center"/>
              <w:rPr>
                <w:sz w:val="22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D4477D" w:rsidRPr="009358E9" w:rsidRDefault="007D4E14" w:rsidP="009A6DEA">
            <w:pPr>
              <w:tabs>
                <w:tab w:val="left" w:pos="990"/>
              </w:tabs>
              <w:ind w:left="-180"/>
              <w:jc w:val="center"/>
              <w:rPr>
                <w:sz w:val="22"/>
              </w:rPr>
            </w:pPr>
            <w:r w:rsidRPr="009358E9">
              <w:rPr>
                <w:sz w:val="22"/>
              </w:rPr>
              <w:t>and/or</w:t>
            </w:r>
          </w:p>
        </w:tc>
      </w:tr>
      <w:tr w:rsidR="00D4477D" w:rsidRPr="009358E9" w:rsidTr="00F223DA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D4477D" w:rsidRPr="009358E9" w:rsidRDefault="00D4477D" w:rsidP="009A6DEA">
            <w:pPr>
              <w:tabs>
                <w:tab w:val="left" w:pos="990"/>
              </w:tabs>
              <w:ind w:left="-180"/>
              <w:rPr>
                <w:sz w:val="22"/>
              </w:rPr>
            </w:pPr>
            <w:r w:rsidRPr="009358E9">
              <w:rPr>
                <w:sz w:val="22"/>
              </w:rPr>
              <w:t>(</w:t>
            </w:r>
            <w:r w:rsidRPr="00453E7B">
              <w:rPr>
                <w:sz w:val="22"/>
              </w:rPr>
              <w:t>mkreed@atlantaga.gov</w:t>
            </w:r>
            <w:r w:rsidRPr="009358E9">
              <w:rPr>
                <w:sz w:val="22"/>
              </w:rPr>
              <w:t>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77D" w:rsidRPr="009358E9" w:rsidRDefault="00D4477D" w:rsidP="009A6DEA">
            <w:pPr>
              <w:tabs>
                <w:tab w:val="left" w:pos="990"/>
              </w:tabs>
              <w:ind w:left="-180"/>
              <w:jc w:val="center"/>
              <w:rPr>
                <w:sz w:val="22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D4477D" w:rsidRPr="009358E9" w:rsidRDefault="00D4477D" w:rsidP="009A6DEA">
            <w:pPr>
              <w:tabs>
                <w:tab w:val="left" w:pos="990"/>
              </w:tabs>
              <w:ind w:left="-180"/>
              <w:rPr>
                <w:sz w:val="22"/>
              </w:rPr>
            </w:pPr>
            <w:r w:rsidRPr="00453E7B">
              <w:rPr>
                <w:sz w:val="22"/>
              </w:rPr>
              <w:t>ktparker@itsmarta.com</w:t>
            </w:r>
          </w:p>
        </w:tc>
      </w:tr>
    </w:tbl>
    <w:p w:rsidR="007D4E14" w:rsidRPr="009358E9" w:rsidRDefault="007D4E14" w:rsidP="009A6DEA">
      <w:pPr>
        <w:ind w:left="-180"/>
        <w:rPr>
          <w:b/>
          <w:sz w:val="22"/>
        </w:rPr>
      </w:pPr>
    </w:p>
    <w:p w:rsidR="00016EE0" w:rsidRPr="009358E9" w:rsidRDefault="007D4E14" w:rsidP="009A6DEA">
      <w:pPr>
        <w:ind w:left="-180"/>
        <w:rPr>
          <w:b/>
          <w:sz w:val="22"/>
        </w:rPr>
      </w:pPr>
      <w:r w:rsidRPr="009358E9">
        <w:rPr>
          <w:b/>
          <w:sz w:val="22"/>
        </w:rPr>
        <w:t>RE: MOU</w:t>
      </w:r>
      <w:r w:rsidR="00842E8B" w:rsidRPr="009358E9">
        <w:rPr>
          <w:b/>
          <w:sz w:val="22"/>
        </w:rPr>
        <w:t xml:space="preserve"> </w:t>
      </w:r>
      <w:r w:rsidR="00016EE0" w:rsidRPr="009358E9">
        <w:rPr>
          <w:b/>
          <w:sz w:val="22"/>
        </w:rPr>
        <w:t xml:space="preserve">between the </w:t>
      </w:r>
      <w:r w:rsidRPr="009358E9">
        <w:rPr>
          <w:b/>
          <w:sz w:val="22"/>
        </w:rPr>
        <w:t>C</w:t>
      </w:r>
      <w:r w:rsidR="00016EE0" w:rsidRPr="009358E9">
        <w:rPr>
          <w:b/>
          <w:sz w:val="22"/>
        </w:rPr>
        <w:t>ity</w:t>
      </w:r>
      <w:r w:rsidR="00453E7B">
        <w:rPr>
          <w:b/>
          <w:sz w:val="22"/>
        </w:rPr>
        <w:t xml:space="preserve"> of Atlanta</w:t>
      </w:r>
      <w:r w:rsidR="00016EE0" w:rsidRPr="009358E9">
        <w:rPr>
          <w:b/>
          <w:sz w:val="22"/>
        </w:rPr>
        <w:t xml:space="preserve"> and MARTA governing </w:t>
      </w:r>
      <w:r w:rsidRPr="009358E9">
        <w:rPr>
          <w:b/>
          <w:sz w:val="22"/>
        </w:rPr>
        <w:t>MARTA Transit Sales Tax</w:t>
      </w:r>
    </w:p>
    <w:p w:rsidR="00665A6E" w:rsidRPr="009358E9" w:rsidRDefault="00665A6E" w:rsidP="009A6DEA">
      <w:pPr>
        <w:ind w:left="-180"/>
        <w:rPr>
          <w:sz w:val="22"/>
        </w:rPr>
      </w:pPr>
      <w:r w:rsidRPr="009358E9">
        <w:rPr>
          <w:sz w:val="22"/>
        </w:rPr>
        <w:t>Atlanta</w:t>
      </w:r>
      <w:r w:rsidR="006B6D65" w:rsidRPr="009358E9">
        <w:rPr>
          <w:sz w:val="22"/>
        </w:rPr>
        <w:t>’</w:t>
      </w:r>
      <w:r w:rsidRPr="009358E9">
        <w:rPr>
          <w:sz w:val="22"/>
        </w:rPr>
        <w:t>s overwhelming support for MARTA expansion</w:t>
      </w:r>
      <w:r w:rsidR="00967F96" w:rsidRPr="009358E9">
        <w:rPr>
          <w:sz w:val="22"/>
        </w:rPr>
        <w:t xml:space="preserve"> </w:t>
      </w:r>
      <w:r w:rsidRPr="009358E9">
        <w:rPr>
          <w:sz w:val="22"/>
        </w:rPr>
        <w:t xml:space="preserve">presents an unprecedented opportunity to shape the city’s </w:t>
      </w:r>
      <w:r w:rsidR="00967F96" w:rsidRPr="009358E9">
        <w:rPr>
          <w:sz w:val="22"/>
        </w:rPr>
        <w:t xml:space="preserve">mobility and affordability </w:t>
      </w:r>
      <w:r w:rsidRPr="009358E9">
        <w:rPr>
          <w:sz w:val="22"/>
        </w:rPr>
        <w:t>future in a more inclusive and equitable fashion tha</w:t>
      </w:r>
      <w:r w:rsidR="00967F96" w:rsidRPr="009358E9">
        <w:rPr>
          <w:sz w:val="22"/>
        </w:rPr>
        <w:t>t</w:t>
      </w:r>
      <w:r w:rsidRPr="009358E9">
        <w:rPr>
          <w:sz w:val="22"/>
        </w:rPr>
        <w:t xml:space="preserve"> </w:t>
      </w:r>
      <w:r w:rsidR="00944BB1" w:rsidRPr="009358E9">
        <w:rPr>
          <w:sz w:val="22"/>
        </w:rPr>
        <w:t>can</w:t>
      </w:r>
      <w:r w:rsidR="00967F96" w:rsidRPr="009358E9">
        <w:rPr>
          <w:sz w:val="22"/>
        </w:rPr>
        <w:t>’t</w:t>
      </w:r>
      <w:r w:rsidR="00944BB1" w:rsidRPr="009358E9">
        <w:rPr>
          <w:sz w:val="22"/>
        </w:rPr>
        <w:t xml:space="preserve"> be achieved by market forces alone.  </w:t>
      </w:r>
    </w:p>
    <w:p w:rsidR="00665A6E" w:rsidRPr="009358E9" w:rsidRDefault="00947B03" w:rsidP="009A6DEA">
      <w:pPr>
        <w:ind w:left="-180"/>
        <w:rPr>
          <w:sz w:val="22"/>
        </w:rPr>
      </w:pPr>
      <w:r w:rsidRPr="009358E9">
        <w:rPr>
          <w:sz w:val="22"/>
        </w:rPr>
        <w:t>The use of the estimated $2</w:t>
      </w:r>
      <w:r w:rsidR="00D3428F" w:rsidRPr="009358E9">
        <w:rPr>
          <w:sz w:val="22"/>
        </w:rPr>
        <w:t>.</w:t>
      </w:r>
      <w:r w:rsidRPr="009358E9">
        <w:rPr>
          <w:sz w:val="22"/>
        </w:rPr>
        <w:t xml:space="preserve">5 billion in tax revenue from the recently approved City of Atlanta MARTA Transit Sales Tax will uniquely shape Atlanta’s long term future. </w:t>
      </w:r>
      <w:r w:rsidR="00665A6E" w:rsidRPr="009358E9">
        <w:rPr>
          <w:sz w:val="22"/>
        </w:rPr>
        <w:t xml:space="preserve">I urge your support </w:t>
      </w:r>
      <w:r w:rsidRPr="009358E9">
        <w:rPr>
          <w:sz w:val="22"/>
        </w:rPr>
        <w:t xml:space="preserve">for a set-aside of projected sales tax revenue for a </w:t>
      </w:r>
      <w:r w:rsidR="00665A6E" w:rsidRPr="009358E9">
        <w:rPr>
          <w:sz w:val="22"/>
        </w:rPr>
        <w:t xml:space="preserve">“Living Transit Fund” </w:t>
      </w:r>
      <w:r w:rsidR="00263367" w:rsidRPr="009358E9">
        <w:rPr>
          <w:sz w:val="22"/>
        </w:rPr>
        <w:t xml:space="preserve">to provide strategic investment </w:t>
      </w:r>
      <w:r w:rsidR="00967F96" w:rsidRPr="009358E9">
        <w:rPr>
          <w:sz w:val="22"/>
        </w:rPr>
        <w:t>i</w:t>
      </w:r>
      <w:r w:rsidR="0098661E" w:rsidRPr="009358E9">
        <w:rPr>
          <w:sz w:val="22"/>
        </w:rPr>
        <w:t xml:space="preserve">n projects </w:t>
      </w:r>
      <w:r w:rsidRPr="009358E9">
        <w:rPr>
          <w:sz w:val="22"/>
        </w:rPr>
        <w:t xml:space="preserve">to </w:t>
      </w:r>
      <w:r w:rsidR="0098661E" w:rsidRPr="009358E9">
        <w:rPr>
          <w:sz w:val="22"/>
        </w:rPr>
        <w:t xml:space="preserve">increase MARTA ridership and revenue while </w:t>
      </w:r>
      <w:r w:rsidR="00A57A11" w:rsidRPr="009358E9">
        <w:rPr>
          <w:sz w:val="22"/>
        </w:rPr>
        <w:t>helping to achieve the agency’s</w:t>
      </w:r>
      <w:r w:rsidR="0098661E" w:rsidRPr="009358E9">
        <w:rPr>
          <w:sz w:val="22"/>
        </w:rPr>
        <w:t xml:space="preserve"> 20 percent affordable housing goal.</w:t>
      </w:r>
    </w:p>
    <w:p w:rsidR="001179E7" w:rsidRPr="009358E9" w:rsidRDefault="00947B03" w:rsidP="009A6DEA">
      <w:pPr>
        <w:ind w:left="-180"/>
        <w:rPr>
          <w:sz w:val="22"/>
        </w:rPr>
      </w:pPr>
      <w:r w:rsidRPr="009358E9">
        <w:rPr>
          <w:sz w:val="22"/>
        </w:rPr>
        <w:t xml:space="preserve">A </w:t>
      </w:r>
      <w:r w:rsidR="00B11410" w:rsidRPr="009358E9">
        <w:rPr>
          <w:sz w:val="22"/>
        </w:rPr>
        <w:t>five (5)</w:t>
      </w:r>
      <w:r w:rsidR="001179E7" w:rsidRPr="009358E9">
        <w:rPr>
          <w:sz w:val="22"/>
        </w:rPr>
        <w:t xml:space="preserve"> percent </w:t>
      </w:r>
      <w:r w:rsidRPr="009358E9">
        <w:rPr>
          <w:sz w:val="22"/>
        </w:rPr>
        <w:t xml:space="preserve">set-aside </w:t>
      </w:r>
      <w:r w:rsidR="00C00F62">
        <w:rPr>
          <w:sz w:val="22"/>
        </w:rPr>
        <w:t>will</w:t>
      </w:r>
      <w:r w:rsidRPr="009358E9">
        <w:rPr>
          <w:sz w:val="22"/>
        </w:rPr>
        <w:t xml:space="preserve"> </w:t>
      </w:r>
      <w:r w:rsidR="001179E7" w:rsidRPr="009358E9">
        <w:rPr>
          <w:sz w:val="22"/>
        </w:rPr>
        <w:t xml:space="preserve">generate approximately $125 million for </w:t>
      </w:r>
      <w:r w:rsidR="00D3428F" w:rsidRPr="009358E9">
        <w:rPr>
          <w:sz w:val="22"/>
        </w:rPr>
        <w:t>the Transit Oriented D</w:t>
      </w:r>
      <w:r w:rsidR="001179E7" w:rsidRPr="009358E9">
        <w:rPr>
          <w:sz w:val="22"/>
        </w:rPr>
        <w:t xml:space="preserve">evelopment of </w:t>
      </w:r>
      <w:r w:rsidRPr="009358E9">
        <w:rPr>
          <w:sz w:val="22"/>
        </w:rPr>
        <w:t xml:space="preserve">approximately 2,500 </w:t>
      </w:r>
      <w:r w:rsidR="001179E7" w:rsidRPr="009358E9">
        <w:rPr>
          <w:sz w:val="22"/>
        </w:rPr>
        <w:t xml:space="preserve">affordable homes near </w:t>
      </w:r>
      <w:r w:rsidR="00D3428F" w:rsidRPr="009358E9">
        <w:rPr>
          <w:sz w:val="22"/>
        </w:rPr>
        <w:t xml:space="preserve">MARTA </w:t>
      </w:r>
      <w:r w:rsidR="001179E7" w:rsidRPr="009358E9">
        <w:rPr>
          <w:sz w:val="22"/>
        </w:rPr>
        <w:t>transit</w:t>
      </w:r>
      <w:r w:rsidR="00D3428F" w:rsidRPr="009358E9">
        <w:rPr>
          <w:sz w:val="22"/>
        </w:rPr>
        <w:t xml:space="preserve"> stations and high-frequency</w:t>
      </w:r>
      <w:r w:rsidR="001179E7" w:rsidRPr="009358E9">
        <w:rPr>
          <w:sz w:val="22"/>
        </w:rPr>
        <w:t xml:space="preserve"> service areas on MARTA-owned properties</w:t>
      </w:r>
      <w:r w:rsidR="00D3428F" w:rsidRPr="009358E9">
        <w:rPr>
          <w:sz w:val="22"/>
        </w:rPr>
        <w:t>. This</w:t>
      </w:r>
      <w:r w:rsidR="001179E7" w:rsidRPr="009358E9">
        <w:rPr>
          <w:sz w:val="22"/>
        </w:rPr>
        <w:t xml:space="preserve"> would </w:t>
      </w:r>
      <w:r w:rsidR="00D3428F" w:rsidRPr="009358E9">
        <w:rPr>
          <w:sz w:val="22"/>
        </w:rPr>
        <w:t xml:space="preserve">better enable the </w:t>
      </w:r>
      <w:r w:rsidR="001F0629" w:rsidRPr="009358E9">
        <w:rPr>
          <w:sz w:val="22"/>
        </w:rPr>
        <w:t>C</w:t>
      </w:r>
      <w:r w:rsidR="00D3428F" w:rsidRPr="009358E9">
        <w:rPr>
          <w:sz w:val="22"/>
        </w:rPr>
        <w:t xml:space="preserve">ity of Atlanta and </w:t>
      </w:r>
      <w:r w:rsidR="001179E7" w:rsidRPr="009358E9">
        <w:rPr>
          <w:sz w:val="22"/>
        </w:rPr>
        <w:t>MARTA</w:t>
      </w:r>
      <w:r w:rsidR="00D3428F" w:rsidRPr="009358E9">
        <w:rPr>
          <w:sz w:val="22"/>
        </w:rPr>
        <w:t xml:space="preserve"> to realize T</w:t>
      </w:r>
      <w:r w:rsidR="001179E7" w:rsidRPr="009358E9">
        <w:rPr>
          <w:sz w:val="22"/>
        </w:rPr>
        <w:t xml:space="preserve">ransit </w:t>
      </w:r>
      <w:r w:rsidR="00D3428F" w:rsidRPr="009358E9">
        <w:rPr>
          <w:sz w:val="22"/>
        </w:rPr>
        <w:t>O</w:t>
      </w:r>
      <w:r w:rsidR="001179E7" w:rsidRPr="009358E9">
        <w:rPr>
          <w:sz w:val="22"/>
        </w:rPr>
        <w:t xml:space="preserve">riented </w:t>
      </w:r>
      <w:r w:rsidR="00D3428F" w:rsidRPr="009358E9">
        <w:rPr>
          <w:sz w:val="22"/>
        </w:rPr>
        <w:t>D</w:t>
      </w:r>
      <w:r w:rsidR="001179E7" w:rsidRPr="009358E9">
        <w:rPr>
          <w:sz w:val="22"/>
        </w:rPr>
        <w:t xml:space="preserve">evelopment </w:t>
      </w:r>
      <w:r w:rsidR="00D3428F" w:rsidRPr="009358E9">
        <w:rPr>
          <w:sz w:val="22"/>
        </w:rPr>
        <w:t xml:space="preserve">and affordability </w:t>
      </w:r>
      <w:r w:rsidR="001179E7" w:rsidRPr="009358E9">
        <w:rPr>
          <w:sz w:val="22"/>
        </w:rPr>
        <w:t>policies</w:t>
      </w:r>
      <w:r w:rsidR="001F0629" w:rsidRPr="009358E9">
        <w:rPr>
          <w:sz w:val="22"/>
        </w:rPr>
        <w:t xml:space="preserve"> that would build on the Mayor’s progressive, equitable urban development legacy</w:t>
      </w:r>
      <w:r w:rsidR="001179E7" w:rsidRPr="009358E9">
        <w:rPr>
          <w:sz w:val="22"/>
        </w:rPr>
        <w:t>.</w:t>
      </w:r>
    </w:p>
    <w:p w:rsidR="001179E7" w:rsidRPr="009358E9" w:rsidRDefault="001179E7" w:rsidP="009A6DEA">
      <w:pPr>
        <w:ind w:left="-180"/>
        <w:rPr>
          <w:sz w:val="22"/>
        </w:rPr>
      </w:pPr>
      <w:r w:rsidRPr="009358E9">
        <w:rPr>
          <w:sz w:val="22"/>
        </w:rPr>
        <w:t xml:space="preserve">Failure to capture this unique opportunity to </w:t>
      </w:r>
      <w:r w:rsidR="00D3428F" w:rsidRPr="009358E9">
        <w:rPr>
          <w:sz w:val="22"/>
        </w:rPr>
        <w:t xml:space="preserve">support the </w:t>
      </w:r>
      <w:r w:rsidRPr="009358E9">
        <w:rPr>
          <w:sz w:val="22"/>
        </w:rPr>
        <w:t>transform</w:t>
      </w:r>
      <w:r w:rsidR="00D3428F" w:rsidRPr="009358E9">
        <w:rPr>
          <w:sz w:val="22"/>
        </w:rPr>
        <w:t>ation of</w:t>
      </w:r>
      <w:r w:rsidRPr="009358E9">
        <w:rPr>
          <w:sz w:val="22"/>
        </w:rPr>
        <w:t xml:space="preserve"> Atlanta into a </w:t>
      </w:r>
      <w:r w:rsidR="00D3428F" w:rsidRPr="009358E9">
        <w:rPr>
          <w:sz w:val="22"/>
        </w:rPr>
        <w:t xml:space="preserve">truly </w:t>
      </w:r>
      <w:r w:rsidRPr="009358E9">
        <w:rPr>
          <w:sz w:val="22"/>
        </w:rPr>
        <w:t>world-class 21</w:t>
      </w:r>
      <w:r w:rsidRPr="009358E9">
        <w:rPr>
          <w:sz w:val="22"/>
          <w:vertAlign w:val="superscript"/>
        </w:rPr>
        <w:t>st</w:t>
      </w:r>
      <w:r w:rsidRPr="009358E9">
        <w:rPr>
          <w:sz w:val="22"/>
        </w:rPr>
        <w:t xml:space="preserve"> c</w:t>
      </w:r>
      <w:r w:rsidR="00D3428F" w:rsidRPr="009358E9">
        <w:rPr>
          <w:sz w:val="22"/>
        </w:rPr>
        <w:t>entury</w:t>
      </w:r>
      <w:r w:rsidRPr="009358E9">
        <w:rPr>
          <w:sz w:val="22"/>
        </w:rPr>
        <w:t xml:space="preserve"> metropolis, where </w:t>
      </w:r>
      <w:r w:rsidR="00B11410" w:rsidRPr="009358E9">
        <w:rPr>
          <w:sz w:val="22"/>
        </w:rPr>
        <w:t xml:space="preserve">transit and </w:t>
      </w:r>
      <w:r w:rsidRPr="009358E9">
        <w:rPr>
          <w:sz w:val="22"/>
        </w:rPr>
        <w:t xml:space="preserve">affordable housing </w:t>
      </w:r>
      <w:r w:rsidR="00B11410" w:rsidRPr="009358E9">
        <w:rPr>
          <w:sz w:val="22"/>
        </w:rPr>
        <w:t xml:space="preserve">are connected to facilitate improved </w:t>
      </w:r>
      <w:r w:rsidRPr="009358E9">
        <w:rPr>
          <w:sz w:val="22"/>
        </w:rPr>
        <w:t>access to schools, hospitals, and employment centers, will drive gentrification and displacement, exacerbate income inequality and increase the disjunction between housing, jobs and transit-dependent residents.</w:t>
      </w:r>
    </w:p>
    <w:p w:rsidR="00453E7B" w:rsidRPr="009358E9" w:rsidRDefault="00944BB1" w:rsidP="009A6DEA">
      <w:pPr>
        <w:ind w:left="-180"/>
        <w:rPr>
          <w:sz w:val="22"/>
        </w:rPr>
      </w:pPr>
      <w:r w:rsidRPr="009358E9">
        <w:rPr>
          <w:sz w:val="22"/>
        </w:rPr>
        <w:t xml:space="preserve">I urge you to include </w:t>
      </w:r>
      <w:r w:rsidR="00782CA4" w:rsidRPr="009358E9">
        <w:rPr>
          <w:sz w:val="22"/>
        </w:rPr>
        <w:t>a Living Trust Fund set</w:t>
      </w:r>
      <w:r w:rsidR="00FC70A9" w:rsidRPr="009358E9">
        <w:rPr>
          <w:sz w:val="22"/>
        </w:rPr>
        <w:t>-</w:t>
      </w:r>
      <w:r w:rsidR="00782CA4" w:rsidRPr="009358E9">
        <w:rPr>
          <w:sz w:val="22"/>
        </w:rPr>
        <w:t xml:space="preserve">aside </w:t>
      </w:r>
      <w:r w:rsidRPr="009358E9">
        <w:rPr>
          <w:sz w:val="22"/>
        </w:rPr>
        <w:t xml:space="preserve">in the </w:t>
      </w:r>
      <w:r w:rsidR="00782CA4" w:rsidRPr="009358E9">
        <w:rPr>
          <w:sz w:val="22"/>
        </w:rPr>
        <w:t>Memorandum of Understanding between the city of Atlanta and MARTA s</w:t>
      </w:r>
      <w:r w:rsidRPr="009358E9">
        <w:rPr>
          <w:sz w:val="22"/>
        </w:rPr>
        <w:t>etting forth priorit</w:t>
      </w:r>
      <w:r w:rsidR="00CF76D7" w:rsidRPr="009358E9">
        <w:rPr>
          <w:sz w:val="22"/>
        </w:rPr>
        <w:t>i</w:t>
      </w:r>
      <w:r w:rsidRPr="009358E9">
        <w:rPr>
          <w:sz w:val="22"/>
        </w:rPr>
        <w:t xml:space="preserve">es for </w:t>
      </w:r>
      <w:r w:rsidR="00D3428F" w:rsidRPr="009358E9">
        <w:rPr>
          <w:sz w:val="22"/>
        </w:rPr>
        <w:t>transit sales tax</w:t>
      </w:r>
      <w:r w:rsidR="00453E7B">
        <w:rPr>
          <w:sz w:val="22"/>
        </w:rPr>
        <w:t xml:space="preserve"> investments.</w:t>
      </w:r>
    </w:p>
    <w:p w:rsidR="00665A6E" w:rsidRPr="009358E9" w:rsidRDefault="007D4E14" w:rsidP="009A6DEA">
      <w:pPr>
        <w:spacing w:after="0"/>
        <w:ind w:left="-180"/>
        <w:rPr>
          <w:sz w:val="22"/>
        </w:rPr>
      </w:pPr>
      <w:r w:rsidRPr="009358E9">
        <w:rPr>
          <w:sz w:val="22"/>
        </w:rPr>
        <w:t xml:space="preserve">CC: </w:t>
      </w:r>
      <w:r>
        <w:rPr>
          <w:sz w:val="22"/>
        </w:rPr>
        <w:tab/>
      </w:r>
      <w:r w:rsidRPr="009358E9">
        <w:rPr>
          <w:sz w:val="22"/>
        </w:rPr>
        <w:t xml:space="preserve">Atlanta City Council </w:t>
      </w:r>
      <w:r>
        <w:rPr>
          <w:sz w:val="22"/>
        </w:rPr>
        <w:t xml:space="preserve">(email to </w:t>
      </w:r>
      <w:r w:rsidR="009358E9" w:rsidRPr="00453E7B">
        <w:rPr>
          <w:sz w:val="22"/>
        </w:rPr>
        <w:t>khall@atlantaga.gov</w:t>
      </w:r>
      <w:r w:rsidR="009358E9">
        <w:rPr>
          <w:sz w:val="22"/>
        </w:rPr>
        <w:t xml:space="preserve">, </w:t>
      </w:r>
      <w:r w:rsidR="009358E9" w:rsidRPr="00453E7B">
        <w:rPr>
          <w:sz w:val="22"/>
        </w:rPr>
        <w:t>ccmitchell@atlantaga.gov</w:t>
      </w:r>
      <w:r w:rsidR="009358E9">
        <w:rPr>
          <w:sz w:val="22"/>
        </w:rPr>
        <w:t xml:space="preserve">, </w:t>
      </w:r>
      <w:r w:rsidR="009358E9" w:rsidRPr="00453E7B">
        <w:rPr>
          <w:sz w:val="22"/>
        </w:rPr>
        <w:t>adickens@atlantaga.gov</w:t>
      </w:r>
      <w:r w:rsidR="009358E9">
        <w:rPr>
          <w:sz w:val="22"/>
        </w:rPr>
        <w:t xml:space="preserve">, </w:t>
      </w:r>
      <w:r w:rsidR="009358E9" w:rsidRPr="00453E7B">
        <w:rPr>
          <w:sz w:val="22"/>
        </w:rPr>
        <w:t>csmith@atlantaga.gov</w:t>
      </w:r>
      <w:r w:rsidR="009358E9">
        <w:rPr>
          <w:sz w:val="22"/>
        </w:rPr>
        <w:t xml:space="preserve">, </w:t>
      </w:r>
      <w:r w:rsidR="009358E9" w:rsidRPr="00453E7B">
        <w:rPr>
          <w:sz w:val="22"/>
        </w:rPr>
        <w:t>ilyoung@atlantaga.gov</w:t>
      </w:r>
      <w:r w:rsidR="009358E9">
        <w:rPr>
          <w:sz w:val="22"/>
        </w:rPr>
        <w:t xml:space="preserve">, </w:t>
      </w:r>
      <w:r w:rsidR="009358E9" w:rsidRPr="00453E7B">
        <w:rPr>
          <w:sz w:val="22"/>
        </w:rPr>
        <w:t>cwinslow@atlantaga.gov</w:t>
      </w:r>
      <w:r w:rsidR="009358E9">
        <w:rPr>
          <w:sz w:val="22"/>
        </w:rPr>
        <w:t xml:space="preserve">, </w:t>
      </w:r>
      <w:r w:rsidR="009358E9" w:rsidRPr="00453E7B">
        <w:rPr>
          <w:sz w:val="22"/>
        </w:rPr>
        <w:t>narchibong@atlantaga.gov</w:t>
      </w:r>
      <w:r w:rsidR="009358E9">
        <w:rPr>
          <w:sz w:val="22"/>
        </w:rPr>
        <w:t xml:space="preserve">, </w:t>
      </w:r>
      <w:r w:rsidR="009358E9" w:rsidRPr="00453E7B">
        <w:rPr>
          <w:sz w:val="22"/>
        </w:rPr>
        <w:t>awan@atlantaga.gov</w:t>
      </w:r>
      <w:r w:rsidR="009358E9">
        <w:rPr>
          <w:sz w:val="22"/>
        </w:rPr>
        <w:t xml:space="preserve">, </w:t>
      </w:r>
      <w:r w:rsidR="009358E9" w:rsidRPr="00453E7B">
        <w:rPr>
          <w:sz w:val="22"/>
        </w:rPr>
        <w:t>hshook@atlantaga.gov</w:t>
      </w:r>
      <w:r w:rsidR="009358E9">
        <w:rPr>
          <w:sz w:val="22"/>
        </w:rPr>
        <w:t xml:space="preserve">, </w:t>
      </w:r>
      <w:r w:rsidR="009358E9" w:rsidRPr="00453E7B">
        <w:rPr>
          <w:sz w:val="22"/>
        </w:rPr>
        <w:t>yadrean@atlantaga.gov</w:t>
      </w:r>
      <w:r w:rsidR="009358E9">
        <w:rPr>
          <w:sz w:val="22"/>
        </w:rPr>
        <w:t xml:space="preserve">, </w:t>
      </w:r>
      <w:r w:rsidR="009358E9" w:rsidRPr="00453E7B">
        <w:rPr>
          <w:sz w:val="22"/>
        </w:rPr>
        <w:t>fmoore@atlantaga.gov</w:t>
      </w:r>
      <w:r w:rsidR="009358E9">
        <w:rPr>
          <w:sz w:val="22"/>
        </w:rPr>
        <w:t xml:space="preserve">, </w:t>
      </w:r>
      <w:r w:rsidR="009358E9" w:rsidRPr="00453E7B">
        <w:rPr>
          <w:sz w:val="22"/>
        </w:rPr>
        <w:t>cmartin@atlantaga.gov</w:t>
      </w:r>
      <w:r w:rsidR="009358E9">
        <w:rPr>
          <w:sz w:val="22"/>
        </w:rPr>
        <w:t xml:space="preserve">, </w:t>
      </w:r>
      <w:r w:rsidR="009358E9" w:rsidRPr="00453E7B">
        <w:rPr>
          <w:sz w:val="22"/>
        </w:rPr>
        <w:t>kbottoms@atlantaga.gov</w:t>
      </w:r>
      <w:r w:rsidR="009358E9">
        <w:rPr>
          <w:sz w:val="22"/>
        </w:rPr>
        <w:t xml:space="preserve">, </w:t>
      </w:r>
      <w:r w:rsidR="009358E9" w:rsidRPr="00453E7B">
        <w:rPr>
          <w:sz w:val="22"/>
        </w:rPr>
        <w:t>jmsheperd@atlantaga.gov</w:t>
      </w:r>
      <w:r w:rsidR="009358E9">
        <w:rPr>
          <w:sz w:val="22"/>
        </w:rPr>
        <w:t xml:space="preserve">, </w:t>
      </w:r>
      <w:r w:rsidR="009358E9" w:rsidRPr="00453E7B">
        <w:rPr>
          <w:sz w:val="22"/>
        </w:rPr>
        <w:t>mbond@atlantaga.gov</w:t>
      </w:r>
      <w:r w:rsidR="009358E9">
        <w:rPr>
          <w:sz w:val="22"/>
        </w:rPr>
        <w:t xml:space="preserve">, </w:t>
      </w:r>
      <w:proofErr w:type="gramStart"/>
      <w:r w:rsidR="009358E9" w:rsidRPr="00453E7B">
        <w:rPr>
          <w:sz w:val="22"/>
        </w:rPr>
        <w:t>mnorwood@atlantaga.gov</w:t>
      </w:r>
      <w:r w:rsidR="009358E9">
        <w:rPr>
          <w:sz w:val="22"/>
        </w:rPr>
        <w:t xml:space="preserve"> )</w:t>
      </w:r>
      <w:proofErr w:type="gramEnd"/>
    </w:p>
    <w:p w:rsidR="005753B0" w:rsidRDefault="007D4E14" w:rsidP="009A6DEA">
      <w:pPr>
        <w:spacing w:after="0"/>
        <w:ind w:left="-180" w:firstLine="720"/>
        <w:rPr>
          <w:sz w:val="22"/>
        </w:rPr>
      </w:pPr>
      <w:r w:rsidRPr="009358E9">
        <w:rPr>
          <w:sz w:val="22"/>
        </w:rPr>
        <w:t>MARTA Board (</w:t>
      </w:r>
      <w:r w:rsidR="009358E9">
        <w:rPr>
          <w:sz w:val="22"/>
        </w:rPr>
        <w:t xml:space="preserve">for distribution </w:t>
      </w:r>
      <w:r w:rsidRPr="009358E9">
        <w:rPr>
          <w:sz w:val="22"/>
        </w:rPr>
        <w:t xml:space="preserve">email to </w:t>
      </w:r>
      <w:r w:rsidRPr="00453E7B">
        <w:rPr>
          <w:sz w:val="22"/>
        </w:rPr>
        <w:t>rtaylor@itsmarta.com</w:t>
      </w:r>
      <w:r w:rsidRPr="009358E9">
        <w:rPr>
          <w:sz w:val="22"/>
        </w:rPr>
        <w:t>)</w:t>
      </w:r>
    </w:p>
    <w:p w:rsidR="005753B0" w:rsidRDefault="005753B0">
      <w:pPr>
        <w:rPr>
          <w:sz w:val="22"/>
        </w:rPr>
      </w:pPr>
    </w:p>
    <w:sectPr w:rsidR="005753B0" w:rsidSect="009A6DEA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DC2" w:rsidRDefault="00317DC2" w:rsidP="007D4E14">
      <w:pPr>
        <w:spacing w:after="0" w:line="240" w:lineRule="auto"/>
      </w:pPr>
      <w:r>
        <w:separator/>
      </w:r>
    </w:p>
  </w:endnote>
  <w:endnote w:type="continuationSeparator" w:id="0">
    <w:p w:rsidR="00317DC2" w:rsidRDefault="00317DC2" w:rsidP="007D4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DC2" w:rsidRDefault="00317DC2" w:rsidP="007D4E14">
      <w:pPr>
        <w:spacing w:after="0" w:line="240" w:lineRule="auto"/>
      </w:pPr>
      <w:r>
        <w:separator/>
      </w:r>
    </w:p>
  </w:footnote>
  <w:footnote w:type="continuationSeparator" w:id="0">
    <w:p w:rsidR="00317DC2" w:rsidRDefault="00317DC2" w:rsidP="007D4E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6E"/>
    <w:rsid w:val="00016EE0"/>
    <w:rsid w:val="00024922"/>
    <w:rsid w:val="0009565C"/>
    <w:rsid w:val="000C4C94"/>
    <w:rsid w:val="001179E7"/>
    <w:rsid w:val="001407A5"/>
    <w:rsid w:val="001D3E5E"/>
    <w:rsid w:val="001F0629"/>
    <w:rsid w:val="0020069D"/>
    <w:rsid w:val="00263367"/>
    <w:rsid w:val="00317DC2"/>
    <w:rsid w:val="00423ACE"/>
    <w:rsid w:val="00453E7B"/>
    <w:rsid w:val="00492763"/>
    <w:rsid w:val="00496210"/>
    <w:rsid w:val="005753B0"/>
    <w:rsid w:val="0066241F"/>
    <w:rsid w:val="00665A6E"/>
    <w:rsid w:val="006B6D65"/>
    <w:rsid w:val="006D204A"/>
    <w:rsid w:val="006D343B"/>
    <w:rsid w:val="006D54E1"/>
    <w:rsid w:val="00731E08"/>
    <w:rsid w:val="0074167B"/>
    <w:rsid w:val="00765C56"/>
    <w:rsid w:val="00782CA4"/>
    <w:rsid w:val="007D0210"/>
    <w:rsid w:val="007D4E14"/>
    <w:rsid w:val="007E4CD5"/>
    <w:rsid w:val="007E5462"/>
    <w:rsid w:val="007F6DF0"/>
    <w:rsid w:val="00806896"/>
    <w:rsid w:val="00842E8B"/>
    <w:rsid w:val="00861818"/>
    <w:rsid w:val="00863D50"/>
    <w:rsid w:val="008E4109"/>
    <w:rsid w:val="0091018D"/>
    <w:rsid w:val="009358E9"/>
    <w:rsid w:val="00944BB1"/>
    <w:rsid w:val="00947B03"/>
    <w:rsid w:val="0095395A"/>
    <w:rsid w:val="00967F96"/>
    <w:rsid w:val="0098661E"/>
    <w:rsid w:val="00990A81"/>
    <w:rsid w:val="009A6DEA"/>
    <w:rsid w:val="00A179C0"/>
    <w:rsid w:val="00A3424A"/>
    <w:rsid w:val="00A535B1"/>
    <w:rsid w:val="00A57A11"/>
    <w:rsid w:val="00A82500"/>
    <w:rsid w:val="00A87A0F"/>
    <w:rsid w:val="00AD4E15"/>
    <w:rsid w:val="00B11410"/>
    <w:rsid w:val="00B455D0"/>
    <w:rsid w:val="00BB14A3"/>
    <w:rsid w:val="00BB5E4B"/>
    <w:rsid w:val="00C00F62"/>
    <w:rsid w:val="00C164C1"/>
    <w:rsid w:val="00CF76D7"/>
    <w:rsid w:val="00D3428F"/>
    <w:rsid w:val="00D40FA9"/>
    <w:rsid w:val="00D4477D"/>
    <w:rsid w:val="00E16B0A"/>
    <w:rsid w:val="00ED4C10"/>
    <w:rsid w:val="00EF485D"/>
    <w:rsid w:val="00F223DA"/>
    <w:rsid w:val="00F75E71"/>
    <w:rsid w:val="00FC70A9"/>
    <w:rsid w:val="00FE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342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2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2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2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2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28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069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44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4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E14"/>
  </w:style>
  <w:style w:type="paragraph" w:styleId="Footer">
    <w:name w:val="footer"/>
    <w:basedOn w:val="Normal"/>
    <w:link w:val="FooterChar"/>
    <w:uiPriority w:val="99"/>
    <w:unhideWhenUsed/>
    <w:rsid w:val="007D4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E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342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2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2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2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2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28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069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44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4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E14"/>
  </w:style>
  <w:style w:type="paragraph" w:styleId="Footer">
    <w:name w:val="footer"/>
    <w:basedOn w:val="Normal"/>
    <w:link w:val="FooterChar"/>
    <w:uiPriority w:val="99"/>
    <w:unhideWhenUsed/>
    <w:rsid w:val="007D4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Panke</dc:creator>
  <cp:lastModifiedBy>George S. Burgan</cp:lastModifiedBy>
  <cp:revision>3</cp:revision>
  <cp:lastPrinted>2017-06-06T19:42:00Z</cp:lastPrinted>
  <dcterms:created xsi:type="dcterms:W3CDTF">2017-06-06T19:50:00Z</dcterms:created>
  <dcterms:modified xsi:type="dcterms:W3CDTF">2017-06-14T17:46:00Z</dcterms:modified>
</cp:coreProperties>
</file>